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43455" w14:textId="77777777" w:rsidR="00DC0C2F" w:rsidRPr="0057709E" w:rsidRDefault="00DC0C2F" w:rsidP="00DC0C2F">
      <w:pPr>
        <w:rPr>
          <w:rFonts w:asciiTheme="majorHAnsi" w:hAnsiTheme="majorHAnsi"/>
          <w:b/>
        </w:rPr>
      </w:pPr>
      <w:r w:rsidRPr="0057709E">
        <w:rPr>
          <w:rFonts w:asciiTheme="majorHAnsi" w:hAnsiTheme="majorHAnsi"/>
          <w:b/>
        </w:rPr>
        <w:t>Think Like a Canadian Economist</w:t>
      </w:r>
    </w:p>
    <w:p w14:paraId="72A858FF" w14:textId="77777777" w:rsidR="00DC0C2F" w:rsidRPr="0057709E" w:rsidRDefault="00DC0C2F" w:rsidP="00DC0C2F">
      <w:pPr>
        <w:rPr>
          <w:rFonts w:asciiTheme="majorHAnsi" w:hAnsiTheme="majorHAnsi"/>
          <w:b/>
        </w:rPr>
      </w:pPr>
      <w:r w:rsidRPr="0057709E">
        <w:rPr>
          <w:rFonts w:asciiTheme="majorHAnsi" w:hAnsiTheme="majorHAnsi"/>
          <w:b/>
        </w:rPr>
        <w:t>Episode 10. Old Age Security and the GIS</w:t>
      </w:r>
    </w:p>
    <w:p w14:paraId="3F6B30B6" w14:textId="77777777" w:rsidR="00DC0C2F" w:rsidRPr="0057709E" w:rsidRDefault="00DC0C2F" w:rsidP="00DC0C2F">
      <w:pPr>
        <w:rPr>
          <w:rFonts w:asciiTheme="majorHAnsi" w:hAnsiTheme="majorHAnsi"/>
          <w:b/>
        </w:rPr>
      </w:pPr>
    </w:p>
    <w:p w14:paraId="71590E20" w14:textId="007FD6E4" w:rsidR="0057709E" w:rsidRPr="0057709E" w:rsidRDefault="0057709E" w:rsidP="00DC0C2F">
      <w:pPr>
        <w:rPr>
          <w:rFonts w:asciiTheme="majorHAnsi" w:hAnsiTheme="majorHAnsi"/>
          <w:b/>
        </w:rPr>
      </w:pPr>
      <w:r w:rsidRPr="0057709E">
        <w:rPr>
          <w:rFonts w:asciiTheme="majorHAnsi" w:hAnsiTheme="majorHAnsi"/>
          <w:b/>
        </w:rPr>
        <w:t>Video Script</w:t>
      </w:r>
    </w:p>
    <w:p w14:paraId="0E389C8C" w14:textId="77777777" w:rsidR="00DC0C2F" w:rsidRPr="00B26F74" w:rsidRDefault="00DC0C2F" w:rsidP="00DC0C2F">
      <w:pPr>
        <w:rPr>
          <w:rFonts w:asciiTheme="majorHAnsi" w:hAnsiTheme="majorHAnsi"/>
        </w:rPr>
      </w:pPr>
    </w:p>
    <w:p w14:paraId="2CDA65F3" w14:textId="4363A6A5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>Canada’s model for public pensions is relatively simple, at least at its core.  Es</w:t>
      </w:r>
      <w:r w:rsidR="00D74C0F" w:rsidRPr="00B26F74">
        <w:rPr>
          <w:rFonts w:asciiTheme="majorHAnsi" w:hAnsiTheme="majorHAnsi"/>
        </w:rPr>
        <w:t>sentially, there are two parts:</w:t>
      </w:r>
      <w:r w:rsidRPr="00B26F74">
        <w:rPr>
          <w:rFonts w:asciiTheme="majorHAnsi" w:hAnsiTheme="majorHAnsi"/>
        </w:rPr>
        <w:t xml:space="preserve"> a pension that depends on your career earnings</w:t>
      </w:r>
      <w:r w:rsidR="00FC2DB5" w:rsidRPr="00B26F74">
        <w:rPr>
          <w:rFonts w:asciiTheme="majorHAnsi" w:hAnsiTheme="majorHAnsi"/>
        </w:rPr>
        <w:t xml:space="preserve"> -</w:t>
      </w:r>
      <w:r w:rsidRPr="00B26F74">
        <w:rPr>
          <w:rFonts w:asciiTheme="majorHAnsi" w:hAnsiTheme="majorHAnsi"/>
        </w:rPr>
        <w:t xml:space="preserve"> </w:t>
      </w:r>
      <w:r w:rsidR="00D74C0F" w:rsidRPr="00B26F74">
        <w:rPr>
          <w:rFonts w:asciiTheme="majorHAnsi" w:hAnsiTheme="majorHAnsi"/>
        </w:rPr>
        <w:t xml:space="preserve">that’s </w:t>
      </w:r>
      <w:r w:rsidRPr="00B26F74">
        <w:rPr>
          <w:rFonts w:asciiTheme="majorHAnsi" w:hAnsiTheme="majorHAnsi"/>
        </w:rPr>
        <w:t xml:space="preserve">the Canada Pension Plan or Quebec Pension Plan, and a pension that depends on your income while retired – </w:t>
      </w:r>
      <w:r w:rsidR="001D0EC1">
        <w:rPr>
          <w:rFonts w:asciiTheme="majorHAnsi" w:hAnsiTheme="majorHAnsi"/>
        </w:rPr>
        <w:t xml:space="preserve">that’s </w:t>
      </w:r>
      <w:r w:rsidRPr="00B26F74">
        <w:rPr>
          <w:rFonts w:asciiTheme="majorHAnsi" w:hAnsiTheme="majorHAnsi"/>
        </w:rPr>
        <w:t>the Old Age Security pension and related supplements.</w:t>
      </w:r>
      <w:r w:rsidR="00104703" w:rsidRPr="00B26F74">
        <w:rPr>
          <w:rFonts w:asciiTheme="majorHAnsi" w:hAnsiTheme="majorHAnsi"/>
        </w:rPr>
        <w:t xml:space="preserve"> The government also supports private savings, largely with</w:t>
      </w:r>
      <w:r w:rsidR="00FC2DB5" w:rsidRPr="00B26F74">
        <w:rPr>
          <w:rFonts w:asciiTheme="majorHAnsi" w:hAnsiTheme="majorHAnsi"/>
        </w:rPr>
        <w:t xml:space="preserve"> tax incentives</w:t>
      </w:r>
      <w:r w:rsidR="00104703" w:rsidRPr="00B26F74">
        <w:rPr>
          <w:rFonts w:asciiTheme="majorHAnsi" w:hAnsiTheme="majorHAnsi"/>
        </w:rPr>
        <w:t>.</w:t>
      </w:r>
    </w:p>
    <w:p w14:paraId="5185F2DE" w14:textId="77777777" w:rsidR="00DC0C2F" w:rsidRPr="00B26F74" w:rsidRDefault="00DC0C2F" w:rsidP="00DC0C2F">
      <w:pPr>
        <w:rPr>
          <w:rFonts w:asciiTheme="majorHAnsi" w:hAnsiTheme="majorHAnsi"/>
        </w:rPr>
      </w:pPr>
    </w:p>
    <w:p w14:paraId="1AC31574" w14:textId="298BE8F9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At age 65, most Canadians qualify for Old Age Security Benefits.  The amount you receive </w:t>
      </w:r>
      <w:r w:rsidR="00FC2DB5" w:rsidRPr="00B26F74">
        <w:rPr>
          <w:rFonts w:asciiTheme="majorHAnsi" w:hAnsiTheme="majorHAnsi"/>
        </w:rPr>
        <w:t xml:space="preserve">has </w:t>
      </w:r>
      <w:r w:rsidRPr="00B26F74">
        <w:rPr>
          <w:rFonts w:asciiTheme="majorHAnsi" w:hAnsiTheme="majorHAnsi"/>
        </w:rPr>
        <w:t xml:space="preserve">nothing </w:t>
      </w:r>
      <w:r w:rsidR="00FC2DB5" w:rsidRPr="00B26F74">
        <w:rPr>
          <w:rFonts w:asciiTheme="majorHAnsi" w:hAnsiTheme="majorHAnsi"/>
        </w:rPr>
        <w:t xml:space="preserve">directly </w:t>
      </w:r>
      <w:r w:rsidRPr="00B26F74">
        <w:rPr>
          <w:rFonts w:asciiTheme="majorHAnsi" w:hAnsiTheme="majorHAnsi"/>
        </w:rPr>
        <w:t xml:space="preserve">to do with your work history, only what your income is now.  Most seniors receive the full benefit – </w:t>
      </w:r>
      <w:r w:rsidR="00FC2DB5" w:rsidRPr="00B26F74">
        <w:rPr>
          <w:rFonts w:asciiTheme="majorHAnsi" w:hAnsiTheme="majorHAnsi"/>
        </w:rPr>
        <w:t>$565 [</w:t>
      </w:r>
      <w:r w:rsidRPr="00B26F74">
        <w:rPr>
          <w:rFonts w:asciiTheme="majorHAnsi" w:hAnsiTheme="majorHAnsi"/>
        </w:rPr>
        <w:t>$564.87</w:t>
      </w:r>
      <w:r w:rsidR="00FC2DB5" w:rsidRPr="00B26F74">
        <w:rPr>
          <w:rFonts w:asciiTheme="majorHAnsi" w:hAnsiTheme="majorHAnsi"/>
        </w:rPr>
        <w:t>]</w:t>
      </w:r>
      <w:r w:rsidRPr="00B26F74">
        <w:rPr>
          <w:rFonts w:asciiTheme="majorHAnsi" w:hAnsiTheme="majorHAnsi"/>
        </w:rPr>
        <w:t xml:space="preserve"> per month in September 2015.  High-income seniors will see a smaller payment – for every </w:t>
      </w:r>
      <w:r w:rsidR="008C1981" w:rsidRPr="00B26F74">
        <w:rPr>
          <w:rFonts w:asciiTheme="majorHAnsi" w:hAnsiTheme="majorHAnsi"/>
        </w:rPr>
        <w:t xml:space="preserve">taxable </w:t>
      </w:r>
      <w:r w:rsidRPr="00B26F74">
        <w:rPr>
          <w:rFonts w:asciiTheme="majorHAnsi" w:hAnsiTheme="majorHAnsi"/>
        </w:rPr>
        <w:t xml:space="preserve">dollar an individual </w:t>
      </w:r>
      <w:r w:rsidR="00FC2DB5" w:rsidRPr="00B26F74">
        <w:rPr>
          <w:rFonts w:asciiTheme="majorHAnsi" w:hAnsiTheme="majorHAnsi"/>
        </w:rPr>
        <w:t>has</w:t>
      </w:r>
      <w:r w:rsidRPr="00B26F74">
        <w:rPr>
          <w:rFonts w:asciiTheme="majorHAnsi" w:hAnsiTheme="majorHAnsi"/>
        </w:rPr>
        <w:t xml:space="preserve"> over $72,809 the benefit is reduced by 15 cents. That means seniors will receive at least some OAS unless their income is nearly 118 thousand</w:t>
      </w:r>
      <w:r w:rsidR="00E361B7" w:rsidRPr="00B26F74">
        <w:rPr>
          <w:rFonts w:asciiTheme="majorHAnsi" w:hAnsiTheme="majorHAnsi"/>
        </w:rPr>
        <w:t xml:space="preserve"> dollars</w:t>
      </w:r>
      <w:r w:rsidRPr="00B26F74">
        <w:rPr>
          <w:rFonts w:asciiTheme="majorHAnsi" w:hAnsiTheme="majorHAnsi"/>
        </w:rPr>
        <w:t xml:space="preserve">. </w:t>
      </w:r>
      <w:proofErr w:type="gramStart"/>
      <w:r w:rsidRPr="00B26F74">
        <w:rPr>
          <w:rFonts w:asciiTheme="majorHAnsi" w:hAnsiTheme="majorHAnsi"/>
        </w:rPr>
        <w:t>[$117,954].</w:t>
      </w:r>
      <w:proofErr w:type="gramEnd"/>
    </w:p>
    <w:p w14:paraId="343DE329" w14:textId="77777777" w:rsidR="00E361B7" w:rsidRPr="00B26F74" w:rsidRDefault="00E361B7" w:rsidP="00DC0C2F">
      <w:pPr>
        <w:rPr>
          <w:rFonts w:asciiTheme="majorHAnsi" w:hAnsiTheme="majorHAnsi"/>
        </w:rPr>
      </w:pPr>
    </w:p>
    <w:p w14:paraId="45407E20" w14:textId="52EA402F" w:rsidR="00E361B7" w:rsidRPr="00B26F74" w:rsidRDefault="00E361B7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>Recently, some changes were introduced to the OAS pension.  First, if you want to delay receiving your OAS you can</w:t>
      </w:r>
      <w:r w:rsidR="00FC2DB5" w:rsidRPr="00B26F74">
        <w:rPr>
          <w:rFonts w:asciiTheme="majorHAnsi" w:hAnsiTheme="majorHAnsi"/>
        </w:rPr>
        <w:t>,</w:t>
      </w:r>
      <w:r w:rsidRPr="00B26F74">
        <w:rPr>
          <w:rFonts w:asciiTheme="majorHAnsi" w:hAnsiTheme="majorHAnsi"/>
        </w:rPr>
        <w:t xml:space="preserve"> for up to 5 years, and in return you will get a higher monthly payment.  Second, if you were born in 1958 or later, you can expect to start receiving OAS later – for those born 1963 or later the OAS is set to start at age 67.</w:t>
      </w:r>
    </w:p>
    <w:p w14:paraId="491ABEB5" w14:textId="77777777" w:rsidR="00DC0C2F" w:rsidRPr="00B26F74" w:rsidRDefault="00DC0C2F" w:rsidP="00DC0C2F">
      <w:pPr>
        <w:rPr>
          <w:rFonts w:asciiTheme="majorHAnsi" w:hAnsiTheme="majorHAnsi"/>
        </w:rPr>
      </w:pPr>
    </w:p>
    <w:p w14:paraId="22130F1B" w14:textId="09C37E65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For low-income seniors, we offer some extra benefits.  Everyone </w:t>
      </w:r>
      <w:r w:rsidR="00E361B7" w:rsidRPr="00B26F74">
        <w:rPr>
          <w:rFonts w:asciiTheme="majorHAnsi" w:hAnsiTheme="majorHAnsi"/>
        </w:rPr>
        <w:t>who gets OAS</w:t>
      </w:r>
      <w:r w:rsidRPr="00B26F74">
        <w:rPr>
          <w:rFonts w:asciiTheme="majorHAnsi" w:hAnsiTheme="majorHAnsi"/>
        </w:rPr>
        <w:t xml:space="preserve"> can apply for the Guaranteed Income Supplement.  As with the OAS, the amount you can receive does not depend on what you earned over your career. </w:t>
      </w:r>
      <w:r w:rsidR="00FC2DB5" w:rsidRPr="00B26F74">
        <w:rPr>
          <w:rFonts w:asciiTheme="majorHAnsi" w:hAnsiTheme="majorHAnsi"/>
        </w:rPr>
        <w:t>Your</w:t>
      </w:r>
      <w:r w:rsidRPr="00B26F74">
        <w:rPr>
          <w:rFonts w:asciiTheme="majorHAnsi" w:hAnsiTheme="majorHAnsi"/>
        </w:rPr>
        <w:t xml:space="preserve"> GIS amount depends on what you and your spouse’s income is in retirement. </w:t>
      </w:r>
    </w:p>
    <w:p w14:paraId="5037411F" w14:textId="77777777" w:rsidR="00DC0C2F" w:rsidRPr="00B26F74" w:rsidRDefault="00DC0C2F" w:rsidP="00DC0C2F">
      <w:pPr>
        <w:rPr>
          <w:rFonts w:asciiTheme="majorHAnsi" w:hAnsiTheme="majorHAnsi"/>
        </w:rPr>
      </w:pPr>
    </w:p>
    <w:p w14:paraId="72CA1295" w14:textId="43434E8B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In September 2015, a single senior over age 65 could receive up to </w:t>
      </w:r>
      <w:r w:rsidR="00AB0075" w:rsidRPr="00B26F74">
        <w:rPr>
          <w:rFonts w:asciiTheme="majorHAnsi" w:hAnsiTheme="majorHAnsi"/>
        </w:rPr>
        <w:t>$766 [</w:t>
      </w:r>
      <w:r w:rsidRPr="00B26F74">
        <w:rPr>
          <w:rFonts w:asciiTheme="majorHAnsi" w:hAnsiTheme="majorHAnsi"/>
        </w:rPr>
        <w:t>$765.93</w:t>
      </w:r>
      <w:r w:rsidR="00AB0075" w:rsidRPr="00B26F74">
        <w:rPr>
          <w:rFonts w:asciiTheme="majorHAnsi" w:hAnsiTheme="majorHAnsi"/>
        </w:rPr>
        <w:t>]</w:t>
      </w:r>
      <w:r w:rsidRPr="00B26F74">
        <w:rPr>
          <w:rFonts w:asciiTheme="majorHAnsi" w:hAnsiTheme="majorHAnsi"/>
        </w:rPr>
        <w:t xml:space="preserve"> per month in GIS payments, and a married couple could receive up to </w:t>
      </w:r>
      <w:r w:rsidR="00873A42" w:rsidRPr="00B26F74">
        <w:rPr>
          <w:rFonts w:asciiTheme="majorHAnsi" w:hAnsiTheme="majorHAnsi"/>
        </w:rPr>
        <w:t xml:space="preserve">$1016 </w:t>
      </w:r>
      <w:r w:rsidR="00AB0075" w:rsidRPr="00B26F74">
        <w:rPr>
          <w:rFonts w:asciiTheme="majorHAnsi" w:hAnsiTheme="majorHAnsi"/>
        </w:rPr>
        <w:t>[</w:t>
      </w:r>
      <w:r w:rsidRPr="00B26F74">
        <w:rPr>
          <w:rFonts w:asciiTheme="majorHAnsi" w:hAnsiTheme="majorHAnsi"/>
        </w:rPr>
        <w:t>$1015.74</w:t>
      </w:r>
      <w:r w:rsidR="00AB0075" w:rsidRPr="00B26F74">
        <w:rPr>
          <w:rFonts w:asciiTheme="majorHAnsi" w:hAnsiTheme="majorHAnsi"/>
        </w:rPr>
        <w:t>]</w:t>
      </w:r>
      <w:r w:rsidRPr="00B26F74">
        <w:rPr>
          <w:rFonts w:asciiTheme="majorHAnsi" w:hAnsiTheme="majorHAnsi"/>
        </w:rPr>
        <w:t xml:space="preserve">. </w:t>
      </w:r>
    </w:p>
    <w:p w14:paraId="4D37D38B" w14:textId="77777777" w:rsidR="00DC0C2F" w:rsidRPr="00B26F74" w:rsidRDefault="00DC0C2F" w:rsidP="00DC0C2F">
      <w:pPr>
        <w:rPr>
          <w:rFonts w:asciiTheme="majorHAnsi" w:hAnsiTheme="majorHAnsi"/>
        </w:rPr>
      </w:pPr>
    </w:p>
    <w:p w14:paraId="71BB473F" w14:textId="293C018B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>This sets a floor – a single individual at a</w:t>
      </w:r>
      <w:r w:rsidR="00873A42" w:rsidRPr="00B26F74">
        <w:rPr>
          <w:rFonts w:asciiTheme="majorHAnsi" w:hAnsiTheme="majorHAnsi"/>
        </w:rPr>
        <w:t xml:space="preserve">ge </w:t>
      </w:r>
      <w:r w:rsidRPr="00B26F74">
        <w:rPr>
          <w:rFonts w:asciiTheme="majorHAnsi" w:hAnsiTheme="majorHAnsi"/>
        </w:rPr>
        <w:t>65, at a minimum, has what OAS and GIS can offer – just over $1300 [$1330.80] per month.</w:t>
      </w:r>
    </w:p>
    <w:p w14:paraId="38A92E3A" w14:textId="77777777" w:rsidR="00DC0C2F" w:rsidRDefault="00DC0C2F" w:rsidP="00DC0C2F">
      <w:pPr>
        <w:rPr>
          <w:rFonts w:asciiTheme="majorHAnsi" w:hAnsiTheme="majorHAnsi"/>
        </w:rPr>
      </w:pPr>
    </w:p>
    <w:p w14:paraId="3D8FFD6E" w14:textId="7069F52F" w:rsidR="00C26B8A" w:rsidRPr="00B26F74" w:rsidRDefault="00C26B8A" w:rsidP="00C26B8A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For every dollar of taxable income, the benefit is reduced by 50 cents.  We don’t count all taxable income here, however. Some earnings don’t count, </w:t>
      </w:r>
      <w:r w:rsidR="00F93750">
        <w:rPr>
          <w:rFonts w:asciiTheme="majorHAnsi" w:hAnsiTheme="majorHAnsi"/>
        </w:rPr>
        <w:t xml:space="preserve">nor does OAS. </w:t>
      </w:r>
      <w:r w:rsidRPr="00B26F74">
        <w:rPr>
          <w:rFonts w:asciiTheme="majorHAnsi" w:hAnsiTheme="majorHAnsi"/>
        </w:rPr>
        <w:t xml:space="preserve">TFSA withdrawals </w:t>
      </w:r>
      <w:r w:rsidR="00F93750">
        <w:rPr>
          <w:rFonts w:asciiTheme="majorHAnsi" w:hAnsiTheme="majorHAnsi"/>
        </w:rPr>
        <w:t>aren’t taxable, so they don’t count either</w:t>
      </w:r>
      <w:r w:rsidRPr="00B26F74">
        <w:rPr>
          <w:rFonts w:asciiTheme="majorHAnsi" w:hAnsiTheme="majorHAnsi"/>
        </w:rPr>
        <w:t xml:space="preserve">.  Things like Canada Pension Plan payments or RRSP withdrawals will count as income and reduce GIS payments.  </w:t>
      </w:r>
    </w:p>
    <w:p w14:paraId="15DF9626" w14:textId="77777777" w:rsidR="00C26B8A" w:rsidRPr="00B26F74" w:rsidRDefault="00C26B8A" w:rsidP="00DC0C2F">
      <w:pPr>
        <w:rPr>
          <w:rFonts w:asciiTheme="majorHAnsi" w:hAnsiTheme="majorHAnsi"/>
        </w:rPr>
      </w:pPr>
    </w:p>
    <w:p w14:paraId="4D5F481A" w14:textId="2748AFF0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With the </w:t>
      </w:r>
      <w:proofErr w:type="spellStart"/>
      <w:r w:rsidRPr="00B26F74">
        <w:rPr>
          <w:rFonts w:asciiTheme="majorHAnsi" w:hAnsiTheme="majorHAnsi"/>
        </w:rPr>
        <w:t>clawback</w:t>
      </w:r>
      <w:proofErr w:type="spellEnd"/>
      <w:r w:rsidRPr="00B26F74">
        <w:rPr>
          <w:rFonts w:asciiTheme="majorHAnsi" w:hAnsiTheme="majorHAnsi"/>
        </w:rPr>
        <w:t xml:space="preserve"> of 50 cent on every dollar, a single person can have taxable income up to $17,136 (plus the income that doesn’t </w:t>
      </w:r>
      <w:r w:rsidR="00FC2DB5" w:rsidRPr="00B26F74">
        <w:rPr>
          <w:rFonts w:asciiTheme="majorHAnsi" w:hAnsiTheme="majorHAnsi"/>
        </w:rPr>
        <w:t xml:space="preserve">really </w:t>
      </w:r>
      <w:r w:rsidRPr="00B26F74">
        <w:rPr>
          <w:rFonts w:asciiTheme="majorHAnsi" w:hAnsiTheme="majorHAnsi"/>
        </w:rPr>
        <w:t>count) and still receive some GIS benefits.</w:t>
      </w:r>
    </w:p>
    <w:p w14:paraId="1E04962F" w14:textId="77777777" w:rsidR="00E361B7" w:rsidRPr="00B26F74" w:rsidRDefault="00E361B7" w:rsidP="00DC0C2F">
      <w:pPr>
        <w:rPr>
          <w:rFonts w:asciiTheme="majorHAnsi" w:hAnsiTheme="majorHAnsi"/>
        </w:rPr>
      </w:pPr>
    </w:p>
    <w:p w14:paraId="31024638" w14:textId="2A925F28" w:rsidR="00E361B7" w:rsidRPr="00B26F74" w:rsidRDefault="00E361B7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This </w:t>
      </w:r>
      <w:r w:rsidR="00FC2DB5" w:rsidRPr="00B26F74">
        <w:rPr>
          <w:rFonts w:asciiTheme="majorHAnsi" w:hAnsiTheme="majorHAnsi"/>
        </w:rPr>
        <w:t xml:space="preserve">50% </w:t>
      </w:r>
      <w:proofErr w:type="spellStart"/>
      <w:r w:rsidRPr="00B26F74">
        <w:rPr>
          <w:rFonts w:asciiTheme="majorHAnsi" w:hAnsiTheme="majorHAnsi"/>
        </w:rPr>
        <w:t>clawback</w:t>
      </w:r>
      <w:proofErr w:type="spellEnd"/>
      <w:r w:rsidRPr="00B26F74">
        <w:rPr>
          <w:rFonts w:asciiTheme="majorHAnsi" w:hAnsiTheme="majorHAnsi"/>
        </w:rPr>
        <w:t xml:space="preserve"> is one part of the policy that economists </w:t>
      </w:r>
      <w:r w:rsidR="00873A42" w:rsidRPr="00B26F74">
        <w:rPr>
          <w:rFonts w:asciiTheme="majorHAnsi" w:hAnsiTheme="majorHAnsi"/>
        </w:rPr>
        <w:t>tend</w:t>
      </w:r>
      <w:r w:rsidRPr="00B26F74">
        <w:rPr>
          <w:rFonts w:asciiTheme="majorHAnsi" w:hAnsiTheme="majorHAnsi"/>
        </w:rPr>
        <w:t xml:space="preserve"> to emphasize. </w:t>
      </w:r>
    </w:p>
    <w:p w14:paraId="3F4C8E36" w14:textId="77777777" w:rsidR="00E361B7" w:rsidRPr="00B26F74" w:rsidRDefault="00E361B7" w:rsidP="00DC0C2F">
      <w:pPr>
        <w:rPr>
          <w:rFonts w:asciiTheme="majorHAnsi" w:hAnsiTheme="majorHAnsi"/>
        </w:rPr>
      </w:pPr>
    </w:p>
    <w:p w14:paraId="7A2FF492" w14:textId="1D7FB1E2" w:rsidR="00E361B7" w:rsidRPr="00B26F74" w:rsidRDefault="00873A42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>For instance</w:t>
      </w:r>
      <w:r w:rsidR="00DC0C2F" w:rsidRPr="00B26F74">
        <w:rPr>
          <w:rFonts w:asciiTheme="majorHAnsi" w:hAnsiTheme="majorHAnsi"/>
        </w:rPr>
        <w:t xml:space="preserve">, </w:t>
      </w:r>
      <w:r w:rsidR="00E361B7" w:rsidRPr="00B26F74">
        <w:rPr>
          <w:rFonts w:asciiTheme="majorHAnsi" w:hAnsiTheme="majorHAnsi"/>
        </w:rPr>
        <w:t xml:space="preserve">we </w:t>
      </w:r>
      <w:r w:rsidR="00DC0C2F" w:rsidRPr="00B26F74">
        <w:rPr>
          <w:rFonts w:asciiTheme="majorHAnsi" w:hAnsiTheme="majorHAnsi"/>
        </w:rPr>
        <w:t xml:space="preserve">worry about altering a person’s decision to work.  The </w:t>
      </w:r>
      <w:proofErr w:type="spellStart"/>
      <w:r w:rsidR="00DC0C2F" w:rsidRPr="00B26F74">
        <w:rPr>
          <w:rFonts w:asciiTheme="majorHAnsi" w:hAnsiTheme="majorHAnsi"/>
        </w:rPr>
        <w:t>clawbacks</w:t>
      </w:r>
      <w:proofErr w:type="spellEnd"/>
      <w:r w:rsidR="00DC0C2F" w:rsidRPr="00B26F74">
        <w:rPr>
          <w:rFonts w:asciiTheme="majorHAnsi" w:hAnsiTheme="majorHAnsi"/>
        </w:rPr>
        <w:t xml:space="preserve"> are concerning as they affect </w:t>
      </w:r>
      <w:r w:rsidR="00E361B7" w:rsidRPr="00B26F74">
        <w:rPr>
          <w:rFonts w:asciiTheme="majorHAnsi" w:hAnsiTheme="majorHAnsi"/>
        </w:rPr>
        <w:t>a person’s</w:t>
      </w:r>
      <w:r w:rsidR="00DC0C2F" w:rsidRPr="00B26F74">
        <w:rPr>
          <w:rFonts w:asciiTheme="majorHAnsi" w:hAnsiTheme="majorHAnsi"/>
        </w:rPr>
        <w:t xml:space="preserve"> marginal </w:t>
      </w:r>
      <w:r w:rsidRPr="00B26F74">
        <w:rPr>
          <w:rFonts w:asciiTheme="majorHAnsi" w:hAnsiTheme="majorHAnsi"/>
        </w:rPr>
        <w:t xml:space="preserve">effective </w:t>
      </w:r>
      <w:r w:rsidR="00DC0C2F" w:rsidRPr="00B26F74">
        <w:rPr>
          <w:rFonts w:asciiTheme="majorHAnsi" w:hAnsiTheme="majorHAnsi"/>
        </w:rPr>
        <w:t xml:space="preserve">tax rate.  Suppose you were over 65 and worked a little more, earning just one more dollar.  On that dollar you might have to pay income tax, will </w:t>
      </w:r>
      <w:r w:rsidR="00E361B7" w:rsidRPr="00B26F74">
        <w:rPr>
          <w:rFonts w:asciiTheme="majorHAnsi" w:hAnsiTheme="majorHAnsi"/>
        </w:rPr>
        <w:t>lose some of your</w:t>
      </w:r>
      <w:r w:rsidR="00DC0C2F" w:rsidRPr="00B26F74">
        <w:rPr>
          <w:rFonts w:asciiTheme="majorHAnsi" w:hAnsiTheme="majorHAnsi"/>
        </w:rPr>
        <w:t xml:space="preserve"> GIS benefits, and possibly other provincial benefits as well.  What is your incentive to work?  For a person who might have been happy to work a bit in retirement, it</w:t>
      </w:r>
      <w:r w:rsidR="00E361B7" w:rsidRPr="00B26F74">
        <w:rPr>
          <w:rFonts w:asciiTheme="majorHAnsi" w:hAnsiTheme="majorHAnsi"/>
        </w:rPr>
        <w:t>’</w:t>
      </w:r>
      <w:r w:rsidR="00DC0C2F" w:rsidRPr="00B26F74">
        <w:rPr>
          <w:rFonts w:asciiTheme="majorHAnsi" w:hAnsiTheme="majorHAnsi"/>
        </w:rPr>
        <w:t xml:space="preserve">s often just not worth it.  </w:t>
      </w:r>
    </w:p>
    <w:p w14:paraId="047FC978" w14:textId="77777777" w:rsidR="00E361B7" w:rsidRPr="00B26F74" w:rsidRDefault="00E361B7" w:rsidP="00DC0C2F">
      <w:pPr>
        <w:rPr>
          <w:rFonts w:asciiTheme="majorHAnsi" w:hAnsiTheme="majorHAnsi"/>
        </w:rPr>
      </w:pPr>
    </w:p>
    <w:p w14:paraId="63DAABC0" w14:textId="3560A443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For that reason, we’ve exempted the first $3500 of earnings from </w:t>
      </w:r>
      <w:r w:rsidR="00E361B7" w:rsidRPr="00B26F74">
        <w:rPr>
          <w:rFonts w:asciiTheme="majorHAnsi" w:hAnsiTheme="majorHAnsi"/>
        </w:rPr>
        <w:t xml:space="preserve">GIS </w:t>
      </w:r>
      <w:proofErr w:type="spellStart"/>
      <w:r w:rsidRPr="00B26F74">
        <w:rPr>
          <w:rFonts w:asciiTheme="majorHAnsi" w:hAnsiTheme="majorHAnsi"/>
        </w:rPr>
        <w:t>clawbacks</w:t>
      </w:r>
      <w:proofErr w:type="spellEnd"/>
      <w:r w:rsidRPr="00B26F74">
        <w:rPr>
          <w:rFonts w:asciiTheme="majorHAnsi" w:hAnsiTheme="majorHAnsi"/>
        </w:rPr>
        <w:t xml:space="preserve">, but beyond that the disincentives are clear. </w:t>
      </w:r>
    </w:p>
    <w:p w14:paraId="53708ABC" w14:textId="77777777" w:rsidR="00E361B7" w:rsidRPr="00B26F74" w:rsidRDefault="00E361B7" w:rsidP="00DC0C2F">
      <w:pPr>
        <w:rPr>
          <w:rFonts w:asciiTheme="majorHAnsi" w:hAnsiTheme="majorHAnsi"/>
        </w:rPr>
      </w:pPr>
    </w:p>
    <w:p w14:paraId="1F872896" w14:textId="45A01A6E" w:rsidR="00E361B7" w:rsidRPr="00B26F74" w:rsidRDefault="00E361B7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We also consider how these </w:t>
      </w:r>
      <w:proofErr w:type="spellStart"/>
      <w:r w:rsidRPr="00B26F74">
        <w:rPr>
          <w:rFonts w:asciiTheme="majorHAnsi" w:hAnsiTheme="majorHAnsi"/>
        </w:rPr>
        <w:t>clawbacks</w:t>
      </w:r>
      <w:proofErr w:type="spellEnd"/>
      <w:r w:rsidRPr="00B26F74">
        <w:rPr>
          <w:rFonts w:asciiTheme="majorHAnsi" w:hAnsiTheme="majorHAnsi"/>
        </w:rPr>
        <w:t xml:space="preserve"> interact with other retirement income</w:t>
      </w:r>
      <w:r w:rsidR="00FC2DB5" w:rsidRPr="00B26F74">
        <w:rPr>
          <w:rFonts w:asciiTheme="majorHAnsi" w:hAnsiTheme="majorHAnsi"/>
        </w:rPr>
        <w:t xml:space="preserve"> and our savings decisions</w:t>
      </w:r>
      <w:r w:rsidRPr="00B26F74">
        <w:rPr>
          <w:rFonts w:asciiTheme="majorHAnsi" w:hAnsiTheme="majorHAnsi"/>
        </w:rPr>
        <w:t>.  For example, if a person’s CPP benefits were increased, their GIS would be reduced.  While some income from investments – such as TFSAs – will not affect GIS payments, other income – such as RRSP withdraw</w:t>
      </w:r>
      <w:r w:rsidR="00AB0075" w:rsidRPr="00B26F74">
        <w:rPr>
          <w:rFonts w:asciiTheme="majorHAnsi" w:hAnsiTheme="majorHAnsi"/>
        </w:rPr>
        <w:t>a</w:t>
      </w:r>
      <w:r w:rsidRPr="00B26F74">
        <w:rPr>
          <w:rFonts w:asciiTheme="majorHAnsi" w:hAnsiTheme="majorHAnsi"/>
        </w:rPr>
        <w:t>ls – will.  This distorts decisions about w</w:t>
      </w:r>
      <w:r w:rsidR="001E39C0" w:rsidRPr="00B26F74">
        <w:rPr>
          <w:rFonts w:asciiTheme="majorHAnsi" w:hAnsiTheme="majorHAnsi"/>
        </w:rPr>
        <w:t>here to put savings and how to manage one’s portfolio.</w:t>
      </w:r>
    </w:p>
    <w:p w14:paraId="56FBE374" w14:textId="77777777" w:rsidR="00DC0C2F" w:rsidRPr="00B26F74" w:rsidRDefault="00DC0C2F" w:rsidP="00DC0C2F">
      <w:pPr>
        <w:rPr>
          <w:rFonts w:asciiTheme="majorHAnsi" w:hAnsiTheme="majorHAnsi"/>
        </w:rPr>
      </w:pPr>
    </w:p>
    <w:p w14:paraId="1851B8E7" w14:textId="2A22B6B8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The </w:t>
      </w:r>
      <w:proofErr w:type="spellStart"/>
      <w:r w:rsidRPr="00B26F74">
        <w:rPr>
          <w:rFonts w:asciiTheme="majorHAnsi" w:hAnsiTheme="majorHAnsi"/>
        </w:rPr>
        <w:t>clawback</w:t>
      </w:r>
      <w:proofErr w:type="spellEnd"/>
      <w:r w:rsidRPr="00B26F74">
        <w:rPr>
          <w:rFonts w:asciiTheme="majorHAnsi" w:hAnsiTheme="majorHAnsi"/>
        </w:rPr>
        <w:t xml:space="preserve"> rates, however, </w:t>
      </w:r>
      <w:r w:rsidR="00E361B7" w:rsidRPr="00B26F74">
        <w:rPr>
          <w:rFonts w:asciiTheme="majorHAnsi" w:hAnsiTheme="majorHAnsi"/>
        </w:rPr>
        <w:t>have a purpose</w:t>
      </w:r>
      <w:r w:rsidRPr="00B26F74">
        <w:rPr>
          <w:rFonts w:asciiTheme="majorHAnsi" w:hAnsiTheme="majorHAnsi"/>
        </w:rPr>
        <w:t xml:space="preserve"> – by targeting only the lowest income seniors, we can offer higher benefit rates.  </w:t>
      </w:r>
      <w:r w:rsidR="00E361B7" w:rsidRPr="00B26F74">
        <w:rPr>
          <w:rFonts w:asciiTheme="majorHAnsi" w:hAnsiTheme="majorHAnsi"/>
        </w:rPr>
        <w:t>Balancing incentives with Canadian’s desire to help low-income seniors isn’t a simple task.</w:t>
      </w:r>
    </w:p>
    <w:p w14:paraId="34A875D9" w14:textId="77777777" w:rsidR="00E361B7" w:rsidRPr="00B26F74" w:rsidRDefault="00E361B7" w:rsidP="00E361B7">
      <w:pPr>
        <w:rPr>
          <w:rFonts w:asciiTheme="majorHAnsi" w:hAnsiTheme="majorHAnsi"/>
        </w:rPr>
      </w:pPr>
    </w:p>
    <w:p w14:paraId="3DBDD57B" w14:textId="34637AC6" w:rsidR="00E361B7" w:rsidRPr="00B26F74" w:rsidRDefault="00E361B7" w:rsidP="00E361B7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There are other benefits to consider </w:t>
      </w:r>
      <w:r w:rsidR="006E61A7">
        <w:rPr>
          <w:rFonts w:asciiTheme="majorHAnsi" w:hAnsiTheme="majorHAnsi"/>
        </w:rPr>
        <w:t>at the federal level. I</w:t>
      </w:r>
      <w:r w:rsidRPr="00B26F74">
        <w:rPr>
          <w:rFonts w:asciiTheme="majorHAnsi" w:hAnsiTheme="majorHAnsi"/>
        </w:rPr>
        <w:t>f you’re between 60 and 64</w:t>
      </w:r>
      <w:r w:rsidR="00AB0075" w:rsidRPr="00B26F74">
        <w:rPr>
          <w:rFonts w:asciiTheme="majorHAnsi" w:hAnsiTheme="majorHAnsi"/>
        </w:rPr>
        <w:t>,</w:t>
      </w:r>
      <w:r w:rsidRPr="00B26F74">
        <w:rPr>
          <w:rFonts w:asciiTheme="majorHAnsi" w:hAnsiTheme="majorHAnsi"/>
        </w:rPr>
        <w:t xml:space="preserve"> but your spouse </w:t>
      </w:r>
      <w:proofErr w:type="gramStart"/>
      <w:r w:rsidRPr="00B26F74">
        <w:rPr>
          <w:rFonts w:asciiTheme="majorHAnsi" w:hAnsiTheme="majorHAnsi"/>
        </w:rPr>
        <w:t>is</w:t>
      </w:r>
      <w:proofErr w:type="gramEnd"/>
      <w:r w:rsidRPr="00B26F74">
        <w:rPr>
          <w:rFonts w:asciiTheme="majorHAnsi" w:hAnsiTheme="majorHAnsi"/>
        </w:rPr>
        <w:t xml:space="preserve"> over 65, or if you’re widowed, you may qualify for the Allowance, another low income supplement.  These </w:t>
      </w:r>
      <w:r w:rsidR="008C3A10">
        <w:rPr>
          <w:rFonts w:asciiTheme="majorHAnsi" w:hAnsiTheme="majorHAnsi"/>
        </w:rPr>
        <w:t xml:space="preserve">early </w:t>
      </w:r>
      <w:r w:rsidRPr="00B26F74">
        <w:rPr>
          <w:rFonts w:asciiTheme="majorHAnsi" w:hAnsiTheme="majorHAnsi"/>
        </w:rPr>
        <w:t xml:space="preserve">benefits are not available to seniors who have never married or have divorced. </w:t>
      </w:r>
      <w:r w:rsidR="006E61A7">
        <w:rPr>
          <w:rFonts w:asciiTheme="majorHAnsi" w:hAnsiTheme="majorHAnsi"/>
        </w:rPr>
        <w:t xml:space="preserve"> </w:t>
      </w:r>
      <w:r w:rsidR="006E61A7" w:rsidRPr="00B26F74">
        <w:rPr>
          <w:rFonts w:asciiTheme="majorHAnsi" w:hAnsiTheme="majorHAnsi"/>
        </w:rPr>
        <w:t>OAS is prorated for your time as a Canadian resident, so we have some supplements available for recent immigrants to Canada.</w:t>
      </w:r>
      <w:r w:rsidRPr="00B26F74">
        <w:rPr>
          <w:rFonts w:asciiTheme="majorHAnsi" w:hAnsiTheme="majorHAnsi"/>
        </w:rPr>
        <w:t xml:space="preserve"> Many provinces also offer benefits to seniors to supplement federal programs.</w:t>
      </w:r>
    </w:p>
    <w:p w14:paraId="36B3ACBF" w14:textId="77777777" w:rsidR="00E361B7" w:rsidRPr="00B26F74" w:rsidRDefault="00E361B7" w:rsidP="00E361B7">
      <w:pPr>
        <w:rPr>
          <w:rFonts w:asciiTheme="majorHAnsi" w:hAnsiTheme="majorHAnsi"/>
        </w:rPr>
      </w:pPr>
    </w:p>
    <w:p w14:paraId="4FAD82CD" w14:textId="3CDB8F9A" w:rsidR="00DC44EA" w:rsidRPr="00B26F74" w:rsidRDefault="00E361B7" w:rsidP="00E361B7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>Together these programs offer Canadians a minimum level of income security in their retirement.  They’ve often been credited with reducing senior poverty rates in Canada</w:t>
      </w:r>
      <w:r w:rsidR="008A72EB" w:rsidRPr="00B26F74">
        <w:rPr>
          <w:rFonts w:asciiTheme="majorHAnsi" w:hAnsiTheme="majorHAnsi"/>
        </w:rPr>
        <w:t xml:space="preserve"> [5.9%]</w:t>
      </w:r>
      <w:r w:rsidRPr="00B26F74">
        <w:rPr>
          <w:rFonts w:asciiTheme="majorHAnsi" w:hAnsiTheme="majorHAnsi"/>
        </w:rPr>
        <w:t>, which are among the lowest of OECD countries</w:t>
      </w:r>
      <w:r w:rsidR="008A72EB" w:rsidRPr="00B26F74">
        <w:rPr>
          <w:rFonts w:asciiTheme="majorHAnsi" w:hAnsiTheme="majorHAnsi"/>
        </w:rPr>
        <w:t xml:space="preserve"> [13.5%</w:t>
      </w:r>
      <w:r w:rsidR="004D11D4" w:rsidRPr="00B26F74">
        <w:rPr>
          <w:rFonts w:asciiTheme="majorHAnsi" w:hAnsiTheme="majorHAnsi"/>
        </w:rPr>
        <w:t>, US 22.4%</w:t>
      </w:r>
      <w:r w:rsidR="008A72EB" w:rsidRPr="00B26F74">
        <w:rPr>
          <w:rFonts w:asciiTheme="majorHAnsi" w:hAnsiTheme="majorHAnsi"/>
        </w:rPr>
        <w:t>]</w:t>
      </w:r>
      <w:r w:rsidRPr="00B26F74">
        <w:rPr>
          <w:rFonts w:asciiTheme="majorHAnsi" w:hAnsiTheme="majorHAnsi"/>
        </w:rPr>
        <w:t>.</w:t>
      </w:r>
      <w:r w:rsidR="00AA7F67" w:rsidRPr="00B26F74">
        <w:rPr>
          <w:rFonts w:asciiTheme="majorHAnsi" w:hAnsiTheme="majorHAnsi"/>
        </w:rPr>
        <w:t xml:space="preserve">  Our success doesn’t come cheap – about 15% of federal</w:t>
      </w:r>
      <w:r w:rsidR="00DC44EA" w:rsidRPr="00B26F74">
        <w:rPr>
          <w:rFonts w:asciiTheme="majorHAnsi" w:hAnsiTheme="majorHAnsi"/>
        </w:rPr>
        <w:t xml:space="preserve"> expenditures go toward OAS, GIS and other supplements</w:t>
      </w:r>
      <w:r w:rsidR="00873A42" w:rsidRPr="00B26F74">
        <w:rPr>
          <w:rFonts w:asciiTheme="majorHAnsi" w:hAnsiTheme="majorHAnsi"/>
        </w:rPr>
        <w:t xml:space="preserve"> for the elderly</w:t>
      </w:r>
      <w:r w:rsidR="00DC44EA" w:rsidRPr="00B26F74">
        <w:rPr>
          <w:rFonts w:asciiTheme="majorHAnsi" w:hAnsiTheme="majorHAnsi"/>
        </w:rPr>
        <w:t>,</w:t>
      </w:r>
      <w:r w:rsidR="00873A42" w:rsidRPr="00B26F74">
        <w:rPr>
          <w:rFonts w:asciiTheme="majorHAnsi" w:hAnsiTheme="majorHAnsi"/>
        </w:rPr>
        <w:t xml:space="preserve"> or</w:t>
      </w:r>
      <w:r w:rsidR="00DC44EA" w:rsidRPr="00B26F74">
        <w:rPr>
          <w:rFonts w:asciiTheme="majorHAnsi" w:hAnsiTheme="majorHAnsi"/>
        </w:rPr>
        <w:t xml:space="preserve"> about 46 billion dollars in 2015.</w:t>
      </w:r>
    </w:p>
    <w:p w14:paraId="4F4FAF32" w14:textId="77777777" w:rsidR="00DC44EA" w:rsidRPr="00B26F74" w:rsidRDefault="00DC44EA" w:rsidP="00E361B7">
      <w:pPr>
        <w:rPr>
          <w:rFonts w:asciiTheme="majorHAnsi" w:hAnsiTheme="majorHAnsi"/>
        </w:rPr>
      </w:pPr>
    </w:p>
    <w:p w14:paraId="2B3F75DD" w14:textId="60FCDC29" w:rsidR="00AA7F67" w:rsidRPr="00B26F74" w:rsidRDefault="00DC44EA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>Follow us on twitter @</w:t>
      </w:r>
      <w:proofErr w:type="spellStart"/>
      <w:r w:rsidRPr="00B26F74">
        <w:rPr>
          <w:rFonts w:asciiTheme="majorHAnsi" w:hAnsiTheme="majorHAnsi"/>
        </w:rPr>
        <w:t>tlcecon</w:t>
      </w:r>
      <w:proofErr w:type="spellEnd"/>
      <w:r w:rsidRPr="00B26F74">
        <w:rPr>
          <w:rFonts w:asciiTheme="majorHAnsi" w:hAnsiTheme="majorHAnsi"/>
        </w:rPr>
        <w:t>, and visit our website for more videos.</w:t>
      </w:r>
    </w:p>
    <w:p w14:paraId="65EF9EB5" w14:textId="77777777" w:rsidR="00E361B7" w:rsidRPr="00B26F74" w:rsidRDefault="00E361B7" w:rsidP="00DC0C2F">
      <w:pPr>
        <w:rPr>
          <w:rFonts w:asciiTheme="majorHAnsi" w:hAnsiTheme="majorHAnsi"/>
        </w:rPr>
      </w:pPr>
    </w:p>
    <w:p w14:paraId="71079285" w14:textId="2FCD7B9F" w:rsidR="00DC0C2F" w:rsidRPr="00B26F74" w:rsidRDefault="00AB0075" w:rsidP="00DC0C2F">
      <w:pPr>
        <w:rPr>
          <w:rFonts w:asciiTheme="majorHAnsi" w:hAnsiTheme="majorHAnsi"/>
          <w:b/>
        </w:rPr>
      </w:pPr>
      <w:r w:rsidRPr="00B26F74">
        <w:rPr>
          <w:rFonts w:asciiTheme="majorHAnsi" w:hAnsiTheme="majorHAnsi"/>
          <w:b/>
        </w:rPr>
        <w:t>SUGGESTED READING AND REFERENCES</w:t>
      </w:r>
    </w:p>
    <w:p w14:paraId="4A8CE0C4" w14:textId="77777777" w:rsidR="00DC0C2F" w:rsidRPr="00B26F74" w:rsidRDefault="00DC0C2F" w:rsidP="00DC0C2F">
      <w:pPr>
        <w:rPr>
          <w:rFonts w:asciiTheme="majorHAnsi" w:hAnsiTheme="majorHAnsi"/>
        </w:rPr>
      </w:pPr>
    </w:p>
    <w:p w14:paraId="1997A123" w14:textId="77777777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Current CPP payment amounts are published by Service Canada: </w:t>
      </w:r>
      <w:hyperlink r:id="rId5" w:history="1">
        <w:r w:rsidRPr="00B26F74">
          <w:rPr>
            <w:rStyle w:val="Hyperlink"/>
            <w:rFonts w:asciiTheme="majorHAnsi" w:hAnsiTheme="majorHAnsi"/>
          </w:rPr>
          <w:t>http://www.servicecanada.gc.ca/eng/services/pensions/cpp/payments/</w:t>
        </w:r>
      </w:hyperlink>
      <w:r w:rsidRPr="00B26F74">
        <w:rPr>
          <w:rFonts w:asciiTheme="majorHAnsi" w:hAnsiTheme="majorHAnsi"/>
        </w:rPr>
        <w:t xml:space="preserve"> </w:t>
      </w:r>
    </w:p>
    <w:p w14:paraId="690D7EB3" w14:textId="77777777" w:rsidR="00DC0C2F" w:rsidRPr="00B26F74" w:rsidRDefault="00DC0C2F" w:rsidP="00DC0C2F">
      <w:pPr>
        <w:rPr>
          <w:rFonts w:asciiTheme="majorHAnsi" w:hAnsiTheme="majorHAnsi"/>
        </w:rPr>
      </w:pPr>
    </w:p>
    <w:p w14:paraId="45C281B4" w14:textId="77777777" w:rsidR="00DC0C2F" w:rsidRPr="00B26F74" w:rsidRDefault="00DC0C2F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>Current OAS and GIS amounts are published by Service Canada</w:t>
      </w:r>
      <w:proofErr w:type="gramStart"/>
      <w:r w:rsidRPr="00B26F74">
        <w:rPr>
          <w:rFonts w:asciiTheme="majorHAnsi" w:hAnsiTheme="majorHAnsi"/>
        </w:rPr>
        <w:t xml:space="preserve">:  </w:t>
      </w:r>
      <w:proofErr w:type="gramEnd"/>
      <w:r w:rsidR="00E361B7" w:rsidRPr="00B26F74">
        <w:fldChar w:fldCharType="begin"/>
      </w:r>
      <w:r w:rsidR="00E361B7" w:rsidRPr="00B26F74">
        <w:rPr>
          <w:rFonts w:asciiTheme="majorHAnsi" w:hAnsiTheme="majorHAnsi"/>
        </w:rPr>
        <w:instrText xml:space="preserve"> HYPERLINK "http://www.servicecanada.gc.ca/eng/services/pensions/oas/payments/index.shtml" </w:instrText>
      </w:r>
      <w:r w:rsidR="00E361B7" w:rsidRPr="00B26F74">
        <w:fldChar w:fldCharType="separate"/>
      </w:r>
      <w:r w:rsidRPr="00B26F74">
        <w:rPr>
          <w:rStyle w:val="Hyperlink"/>
          <w:rFonts w:asciiTheme="majorHAnsi" w:hAnsiTheme="majorHAnsi"/>
        </w:rPr>
        <w:t>http://www.servicecanada.gc.ca/eng/services/pensions/oas/payments/index.shtml</w:t>
      </w:r>
      <w:r w:rsidR="00E361B7" w:rsidRPr="00B26F74">
        <w:rPr>
          <w:rStyle w:val="Hyperlink"/>
          <w:rFonts w:asciiTheme="majorHAnsi" w:hAnsiTheme="majorHAnsi"/>
        </w:rPr>
        <w:fldChar w:fldCharType="end"/>
      </w:r>
      <w:r w:rsidRPr="00B26F74">
        <w:rPr>
          <w:rFonts w:asciiTheme="majorHAnsi" w:hAnsiTheme="majorHAnsi"/>
        </w:rPr>
        <w:t xml:space="preserve"> </w:t>
      </w:r>
    </w:p>
    <w:p w14:paraId="51F6A6B7" w14:textId="77777777" w:rsidR="00DC0C2F" w:rsidRPr="00B26F74" w:rsidRDefault="00DC0C2F" w:rsidP="00DC0C2F">
      <w:pPr>
        <w:rPr>
          <w:rFonts w:asciiTheme="majorHAnsi" w:hAnsiTheme="majorHAnsi"/>
        </w:rPr>
      </w:pPr>
    </w:p>
    <w:p w14:paraId="602FEED1" w14:textId="306BCAB6" w:rsidR="00DC44EA" w:rsidRPr="00B26F74" w:rsidRDefault="00DC44EA" w:rsidP="00DC0C2F">
      <w:pPr>
        <w:rPr>
          <w:rFonts w:asciiTheme="majorHAnsi" w:hAnsiTheme="majorHAnsi"/>
        </w:rPr>
      </w:pPr>
      <w:r w:rsidRPr="00B26F74">
        <w:rPr>
          <w:rFonts w:asciiTheme="majorHAnsi" w:hAnsiTheme="majorHAnsi"/>
        </w:rPr>
        <w:t xml:space="preserve">Program expenses are in many Department of Finance documents including the 2015 budget: </w:t>
      </w:r>
      <w:hyperlink r:id="rId6" w:anchor="Outlook_for_Program_Expenses" w:history="1">
        <w:r w:rsidRPr="00B26F74">
          <w:rPr>
            <w:rStyle w:val="Hyperlink"/>
            <w:rFonts w:asciiTheme="majorHAnsi" w:hAnsiTheme="majorHAnsi"/>
          </w:rPr>
          <w:t>http://www.budget.gc.ca/2015/docs/plan/ch5-2-eng.html#Outlook_for_Program_Expenses</w:t>
        </w:r>
      </w:hyperlink>
      <w:r w:rsidRPr="00B26F74">
        <w:rPr>
          <w:rFonts w:asciiTheme="majorHAnsi" w:hAnsiTheme="majorHAnsi"/>
        </w:rPr>
        <w:t xml:space="preserve"> </w:t>
      </w:r>
    </w:p>
    <w:p w14:paraId="2DB8393B" w14:textId="77777777" w:rsidR="00DC44EA" w:rsidRPr="00B26F74" w:rsidRDefault="00DC44EA" w:rsidP="00DC0C2F">
      <w:pPr>
        <w:rPr>
          <w:rFonts w:asciiTheme="majorHAnsi" w:hAnsiTheme="majorHAnsi"/>
        </w:rPr>
      </w:pPr>
    </w:p>
    <w:p w14:paraId="7E668987" w14:textId="0B3A3784" w:rsidR="00DC0C2F" w:rsidRPr="00B26F74" w:rsidRDefault="00E361B7" w:rsidP="00DC0C2F">
      <w:pPr>
        <w:rPr>
          <w:rFonts w:asciiTheme="majorHAnsi" w:hAnsiTheme="majorHAnsi"/>
        </w:rPr>
      </w:pPr>
      <w:r w:rsidRPr="00B26F74">
        <w:rPr>
          <w:rFonts w:asciiTheme="majorHAnsi" w:hAnsiTheme="majorHAnsi" w:cs="Arial"/>
        </w:rPr>
        <w:t>Milligan, K. and T. Schirle. 2014. "Simulated Replacement Rates for CPP Reform Options." The School of Public Policy SPP Research Papers, Volume 7, Issue 7, March 2014.</w:t>
      </w:r>
    </w:p>
    <w:p w14:paraId="28D0E445" w14:textId="77777777" w:rsidR="00AB0075" w:rsidRPr="00B26F74" w:rsidRDefault="00AB0075">
      <w:pPr>
        <w:rPr>
          <w:rFonts w:asciiTheme="majorHAnsi" w:hAnsiTheme="majorHAnsi" w:cs="Arial"/>
        </w:rPr>
      </w:pPr>
    </w:p>
    <w:p w14:paraId="70D1FCBC" w14:textId="35769906" w:rsidR="00AB0075" w:rsidRPr="00B26F74" w:rsidRDefault="00AB0075">
      <w:pPr>
        <w:rPr>
          <w:rFonts w:asciiTheme="majorHAnsi" w:hAnsiTheme="majorHAnsi" w:cs="Arial"/>
        </w:rPr>
      </w:pPr>
      <w:proofErr w:type="spellStart"/>
      <w:r w:rsidRPr="00B26F74">
        <w:rPr>
          <w:rFonts w:asciiTheme="majorHAnsi" w:hAnsiTheme="majorHAnsi" w:cs="Arial"/>
        </w:rPr>
        <w:t>Laurin</w:t>
      </w:r>
      <w:proofErr w:type="spellEnd"/>
      <w:r w:rsidRPr="00B26F74">
        <w:rPr>
          <w:rFonts w:asciiTheme="majorHAnsi" w:hAnsiTheme="majorHAnsi" w:cs="Arial"/>
        </w:rPr>
        <w:t>, A., K. Milligan and T. Schirle. 2012. "Comparing nest eggs: how CPP reform affects retirement choices." C.D. Howe Institute Commentary No. 352, May 2012.</w:t>
      </w:r>
    </w:p>
    <w:p w14:paraId="21D94DE7" w14:textId="77777777" w:rsidR="00AB0075" w:rsidRPr="00B26F74" w:rsidRDefault="00AB0075">
      <w:pPr>
        <w:rPr>
          <w:rFonts w:asciiTheme="majorHAnsi" w:hAnsiTheme="majorHAnsi" w:cs="Arial"/>
        </w:rPr>
      </w:pPr>
    </w:p>
    <w:p w14:paraId="288E5EC7" w14:textId="5F96FC7D" w:rsidR="00AB0075" w:rsidRPr="00B26F74" w:rsidRDefault="00AB0075">
      <w:pPr>
        <w:rPr>
          <w:rFonts w:asciiTheme="majorHAnsi" w:hAnsiTheme="majorHAnsi" w:cs="Arial"/>
        </w:rPr>
      </w:pPr>
      <w:r w:rsidRPr="00B26F74">
        <w:rPr>
          <w:rFonts w:asciiTheme="majorHAnsi" w:hAnsiTheme="majorHAnsi" w:cs="Arial"/>
        </w:rPr>
        <w:t xml:space="preserve">Milligan, K. and T. Schirle. 2008. "Improving the Labour Market Incentives in Canada's Public Pensions </w:t>
      </w:r>
      <w:proofErr w:type="gramStart"/>
      <w:r w:rsidRPr="00B26F74">
        <w:rPr>
          <w:rFonts w:asciiTheme="majorHAnsi" w:hAnsiTheme="majorHAnsi" w:cs="Arial"/>
        </w:rPr>
        <w:t>"  </w:t>
      </w:r>
      <w:r w:rsidRPr="00B26F74">
        <w:rPr>
          <w:rFonts w:asciiTheme="majorHAnsi" w:hAnsiTheme="majorHAnsi" w:cs="Arial"/>
          <w:i/>
          <w:iCs/>
        </w:rPr>
        <w:t>Canadian</w:t>
      </w:r>
      <w:proofErr w:type="gramEnd"/>
      <w:r w:rsidRPr="00B26F74">
        <w:rPr>
          <w:rFonts w:asciiTheme="majorHAnsi" w:hAnsiTheme="majorHAnsi" w:cs="Arial"/>
          <w:i/>
          <w:iCs/>
        </w:rPr>
        <w:t xml:space="preserve"> Public Policy </w:t>
      </w:r>
      <w:r w:rsidRPr="00B26F74">
        <w:rPr>
          <w:rFonts w:asciiTheme="majorHAnsi" w:hAnsiTheme="majorHAnsi" w:cs="Arial"/>
        </w:rPr>
        <w:t>Vol. 34, no.3 (September 2008) pp. 281-304.</w:t>
      </w:r>
    </w:p>
    <w:p w14:paraId="7E756264" w14:textId="77777777" w:rsidR="00AB0075" w:rsidRPr="00B26F74" w:rsidRDefault="00AB0075">
      <w:pPr>
        <w:rPr>
          <w:rFonts w:asciiTheme="majorHAnsi" w:hAnsiTheme="majorHAnsi" w:cs="Arial"/>
        </w:rPr>
      </w:pPr>
    </w:p>
    <w:p w14:paraId="784C80F3" w14:textId="29FBD667" w:rsidR="00AB0075" w:rsidRPr="00B26F74" w:rsidRDefault="00AB0075">
      <w:pPr>
        <w:rPr>
          <w:rFonts w:asciiTheme="majorHAnsi" w:hAnsiTheme="majorHAnsi" w:cs="Arial"/>
        </w:rPr>
      </w:pPr>
      <w:r w:rsidRPr="00B26F74">
        <w:rPr>
          <w:rFonts w:asciiTheme="majorHAnsi" w:hAnsiTheme="majorHAnsi" w:cs="Arial"/>
        </w:rPr>
        <w:t xml:space="preserve">Milligan, K. and T. Schirle. 2013. "The retirement income system and the risks faced by Canadian seniors." </w:t>
      </w:r>
      <w:proofErr w:type="gramStart"/>
      <w:r w:rsidRPr="00B26F74">
        <w:rPr>
          <w:rFonts w:asciiTheme="majorHAnsi" w:hAnsiTheme="majorHAnsi" w:cs="Arial"/>
        </w:rPr>
        <w:t>CLSRN Working Paper No. 120.</w:t>
      </w:r>
      <w:proofErr w:type="gramEnd"/>
      <w:r w:rsidRPr="00B26F74">
        <w:rPr>
          <w:rFonts w:asciiTheme="majorHAnsi" w:hAnsiTheme="majorHAnsi" w:cs="Arial"/>
        </w:rPr>
        <w:t xml:space="preserve"> April 2013.</w:t>
      </w:r>
    </w:p>
    <w:p w14:paraId="2EF2DC60" w14:textId="77777777" w:rsidR="00FC2DB5" w:rsidRPr="00B26F74" w:rsidRDefault="00FC2DB5">
      <w:pPr>
        <w:rPr>
          <w:rFonts w:asciiTheme="majorHAnsi" w:hAnsiTheme="majorHAnsi" w:cs="Arial"/>
        </w:rPr>
      </w:pPr>
    </w:p>
    <w:p w14:paraId="0CD16D82" w14:textId="3413AE92" w:rsidR="00E26DC1" w:rsidRPr="00B26F74" w:rsidRDefault="00E26DC1">
      <w:pPr>
        <w:rPr>
          <w:rFonts w:asciiTheme="majorHAnsi" w:hAnsiTheme="majorHAnsi" w:cs="Arial"/>
          <w:i/>
        </w:rPr>
      </w:pPr>
      <w:r w:rsidRPr="00B26F74">
        <w:rPr>
          <w:rFonts w:asciiTheme="majorHAnsi" w:hAnsiTheme="majorHAnsi" w:cs="Arial"/>
          <w:i/>
        </w:rPr>
        <w:t xml:space="preserve">There are many measures that can be used </w:t>
      </w:r>
      <w:r w:rsidR="0057709E">
        <w:rPr>
          <w:rFonts w:asciiTheme="majorHAnsi" w:hAnsiTheme="majorHAnsi" w:cs="Arial"/>
          <w:i/>
        </w:rPr>
        <w:t>to indicate</w:t>
      </w:r>
      <w:r w:rsidRPr="00B26F74">
        <w:rPr>
          <w:rFonts w:asciiTheme="majorHAnsi" w:hAnsiTheme="majorHAnsi" w:cs="Arial"/>
          <w:i/>
        </w:rPr>
        <w:t xml:space="preserve"> senior </w:t>
      </w:r>
      <w:proofErr w:type="gramStart"/>
      <w:r w:rsidRPr="00B26F74">
        <w:rPr>
          <w:rFonts w:asciiTheme="majorHAnsi" w:hAnsiTheme="majorHAnsi" w:cs="Arial"/>
          <w:i/>
        </w:rPr>
        <w:t>poverty,</w:t>
      </w:r>
      <w:proofErr w:type="gramEnd"/>
      <w:r w:rsidRPr="00B26F74">
        <w:rPr>
          <w:rFonts w:asciiTheme="majorHAnsi" w:hAnsiTheme="majorHAnsi" w:cs="Arial"/>
          <w:i/>
        </w:rPr>
        <w:t xml:space="preserve"> the numbers cited in this video </w:t>
      </w:r>
      <w:bookmarkStart w:id="0" w:name="_GoBack"/>
      <w:bookmarkEnd w:id="0"/>
      <w:r w:rsidRPr="00B26F74">
        <w:rPr>
          <w:rFonts w:asciiTheme="majorHAnsi" w:hAnsiTheme="majorHAnsi" w:cs="Arial"/>
          <w:i/>
        </w:rPr>
        <w:t>are from:</w:t>
      </w:r>
    </w:p>
    <w:p w14:paraId="0802B96B" w14:textId="77777777" w:rsidR="00E26DC1" w:rsidRPr="00B26F74" w:rsidRDefault="00E26DC1" w:rsidP="00E26DC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3A3A3A"/>
        </w:rPr>
      </w:pPr>
      <w:r w:rsidRPr="00B26F74">
        <w:rPr>
          <w:rFonts w:asciiTheme="majorHAnsi" w:hAnsiTheme="majorHAnsi" w:cs="Arial"/>
          <w:color w:val="3A3A3A"/>
        </w:rPr>
        <w:t>OECD (2011), </w:t>
      </w:r>
      <w:r w:rsidRPr="00B26F74">
        <w:rPr>
          <w:rFonts w:asciiTheme="majorHAnsi" w:hAnsiTheme="majorHAnsi" w:cs="Arial"/>
          <w:i/>
          <w:iCs/>
          <w:color w:val="3A3A3A"/>
        </w:rPr>
        <w:t>Pensions at a Glance 2011: Retirement-income Systems in OECD and G20 Countries</w:t>
      </w:r>
      <w:r w:rsidRPr="00B26F74">
        <w:rPr>
          <w:rFonts w:asciiTheme="majorHAnsi" w:hAnsiTheme="majorHAnsi" w:cs="Arial"/>
          <w:color w:val="3A3A3A"/>
        </w:rPr>
        <w:t>, OECD Publishing, Paris.</w:t>
      </w:r>
    </w:p>
    <w:p w14:paraId="35AC725F" w14:textId="6B8FF5B1" w:rsidR="00FC2DB5" w:rsidRPr="00B26F74" w:rsidRDefault="00E26DC1" w:rsidP="00E26DC1">
      <w:pPr>
        <w:rPr>
          <w:rFonts w:asciiTheme="majorHAnsi" w:hAnsiTheme="majorHAnsi" w:cs="Arial"/>
          <w:color w:val="3A3A3A"/>
        </w:rPr>
      </w:pPr>
      <w:r w:rsidRPr="00B26F74">
        <w:rPr>
          <w:rFonts w:asciiTheme="majorHAnsi" w:hAnsiTheme="majorHAnsi" w:cs="Arial"/>
          <w:color w:val="3A3A3A"/>
        </w:rPr>
        <w:t xml:space="preserve">DOI: </w:t>
      </w:r>
      <w:hyperlink r:id="rId7" w:history="1">
        <w:r w:rsidRPr="00B26F74">
          <w:rPr>
            <w:rFonts w:asciiTheme="majorHAnsi" w:hAnsiTheme="majorHAnsi" w:cs="Arial"/>
            <w:color w:val="1751A6"/>
            <w:u w:val="single" w:color="1751A6"/>
          </w:rPr>
          <w:t>http://dx.doi.org/10.1787/pension_glance-2011-en</w:t>
        </w:r>
      </w:hyperlink>
    </w:p>
    <w:p w14:paraId="7D1358B4" w14:textId="77777777" w:rsidR="008452E9" w:rsidRPr="00B26F74" w:rsidRDefault="008452E9" w:rsidP="00E26DC1">
      <w:pPr>
        <w:rPr>
          <w:rFonts w:asciiTheme="majorHAnsi" w:hAnsiTheme="majorHAnsi" w:cs="Arial"/>
          <w:color w:val="3A3A3A"/>
        </w:rPr>
      </w:pPr>
    </w:p>
    <w:p w14:paraId="0BBAD2C7" w14:textId="77777777" w:rsidR="008452E9" w:rsidRPr="00B26F74" w:rsidRDefault="008452E9" w:rsidP="008452E9">
      <w:pPr>
        <w:rPr>
          <w:rFonts w:asciiTheme="majorHAnsi" w:hAnsiTheme="majorHAnsi" w:cs="Arial"/>
        </w:rPr>
      </w:pPr>
      <w:r w:rsidRPr="00B26F74">
        <w:rPr>
          <w:rFonts w:asciiTheme="majorHAnsi" w:hAnsiTheme="majorHAnsi" w:cs="Arial"/>
          <w:color w:val="3A3A3A"/>
        </w:rPr>
        <w:t xml:space="preserve">See also: </w:t>
      </w:r>
      <w:r w:rsidRPr="00B26F74">
        <w:rPr>
          <w:rFonts w:asciiTheme="majorHAnsi" w:hAnsiTheme="majorHAnsi" w:cs="Arial"/>
        </w:rPr>
        <w:t xml:space="preserve">Schirle, T. 2013. "Senior poverty in Canada: A decomposition analysis." </w:t>
      </w:r>
      <w:proofErr w:type="gramStart"/>
      <w:r w:rsidRPr="00B26F74">
        <w:rPr>
          <w:rFonts w:asciiTheme="majorHAnsi" w:hAnsiTheme="majorHAnsi" w:cs="Arial"/>
          <w:i/>
          <w:iCs/>
        </w:rPr>
        <w:t>Canadian Public Policy</w:t>
      </w:r>
      <w:r w:rsidRPr="00B26F74">
        <w:rPr>
          <w:rFonts w:asciiTheme="majorHAnsi" w:hAnsiTheme="majorHAnsi" w:cs="Arial"/>
        </w:rPr>
        <w:t>, Vol. 39(4) 517-540.</w:t>
      </w:r>
      <w:proofErr w:type="gramEnd"/>
    </w:p>
    <w:p w14:paraId="6A3EEDB2" w14:textId="0B31ACB2" w:rsidR="008452E9" w:rsidRPr="00B26F74" w:rsidRDefault="008452E9" w:rsidP="00E26DC1">
      <w:pPr>
        <w:rPr>
          <w:rFonts w:asciiTheme="majorHAnsi" w:hAnsiTheme="majorHAnsi"/>
        </w:rPr>
      </w:pPr>
    </w:p>
    <w:sectPr w:rsidR="008452E9" w:rsidRPr="00B26F74" w:rsidSect="00E361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2F"/>
    <w:rsid w:val="00104703"/>
    <w:rsid w:val="001D0EC1"/>
    <w:rsid w:val="001E39C0"/>
    <w:rsid w:val="00381C6B"/>
    <w:rsid w:val="004A62F3"/>
    <w:rsid w:val="004D11D4"/>
    <w:rsid w:val="0057709E"/>
    <w:rsid w:val="006E61A7"/>
    <w:rsid w:val="007B01D6"/>
    <w:rsid w:val="008452E9"/>
    <w:rsid w:val="00873A42"/>
    <w:rsid w:val="008A72EB"/>
    <w:rsid w:val="008C1981"/>
    <w:rsid w:val="008C3A10"/>
    <w:rsid w:val="00AA7F67"/>
    <w:rsid w:val="00AB0075"/>
    <w:rsid w:val="00B26F74"/>
    <w:rsid w:val="00C26B8A"/>
    <w:rsid w:val="00D53ED1"/>
    <w:rsid w:val="00D74C0F"/>
    <w:rsid w:val="00DC0C2F"/>
    <w:rsid w:val="00DC44EA"/>
    <w:rsid w:val="00E26DC1"/>
    <w:rsid w:val="00E361B7"/>
    <w:rsid w:val="00F93750"/>
    <w:rsid w:val="00F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BCD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C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C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C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ervicecanada.gc.ca/eng/services/pensions/cpp/payments/" TargetMode="External"/><Relationship Id="rId6" Type="http://schemas.openxmlformats.org/officeDocument/2006/relationships/hyperlink" Target="http://www.budget.gc.ca/2015/docs/plan/ch5-2-eng.html" TargetMode="External"/><Relationship Id="rId7" Type="http://schemas.openxmlformats.org/officeDocument/2006/relationships/hyperlink" Target="http://dx.doi.org/10.1787/pension_glance-2011-e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5694</Characters>
  <Application>Microsoft Macintosh Word</Application>
  <DocSecurity>0</DocSecurity>
  <Lines>47</Lines>
  <Paragraphs>13</Paragraphs>
  <ScaleCrop>false</ScaleCrop>
  <Company>Wilfrid Laurier University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Schirle</dc:creator>
  <cp:keywords/>
  <dc:description/>
  <cp:lastModifiedBy>Tammy Schirle</cp:lastModifiedBy>
  <cp:revision>2</cp:revision>
  <dcterms:created xsi:type="dcterms:W3CDTF">2015-09-15T20:03:00Z</dcterms:created>
  <dcterms:modified xsi:type="dcterms:W3CDTF">2015-09-15T20:03:00Z</dcterms:modified>
</cp:coreProperties>
</file>